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369CD" w:rsidRDefault="0064484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GDF RESPONDS TO THE FATF CONSULTATION ON CRYPTO RULES</w:t>
      </w:r>
    </w:p>
    <w:p w14:paraId="00000002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Global Digital Finance (GDF), the </w:t>
      </w:r>
      <w:proofErr w:type="spellStart"/>
      <w:r>
        <w:rPr>
          <w:rFonts w:ascii="Arial" w:eastAsia="Arial" w:hAnsi="Arial" w:cs="Arial"/>
          <w:sz w:val="24"/>
          <w:szCs w:val="24"/>
        </w:rPr>
        <w:t>cryptoassets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digital finance industry membership body, is calling for industry cooperation to respond to the latest consultation on crypto from the Financial Action Task </w:t>
      </w:r>
      <w:proofErr w:type="spellStart"/>
      <w:r>
        <w:rPr>
          <w:rFonts w:ascii="Arial" w:eastAsia="Arial" w:hAnsi="Arial" w:cs="Arial"/>
          <w:sz w:val="24"/>
          <w:szCs w:val="24"/>
        </w:rPr>
        <w:t>Task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force, the global Anti-Money Laundering (AM</w:t>
      </w:r>
      <w:r>
        <w:rPr>
          <w:rFonts w:ascii="Arial" w:eastAsia="Arial" w:hAnsi="Arial" w:cs="Arial"/>
          <w:sz w:val="24"/>
          <w:szCs w:val="24"/>
        </w:rPr>
        <w:t>L) watchdog.</w:t>
      </w:r>
    </w:p>
    <w:p w14:paraId="00000004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is urging virtual asset service providers (VASPs) and financial institutions to contribute to the response via the GDF’s AML Working Group made up of a significant group of members’ compliance experts. </w:t>
      </w:r>
    </w:p>
    <w:p w14:paraId="00000006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7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 xml:space="preserve">This latest consultation sets out </w:t>
      </w:r>
      <w:r>
        <w:rPr>
          <w:rFonts w:ascii="Arial" w:eastAsia="Arial" w:hAnsi="Arial" w:cs="Arial"/>
          <w:i/>
          <w:sz w:val="24"/>
          <w:szCs w:val="24"/>
        </w:rPr>
        <w:t>guidance for the industry and regulators that is far-reaching, covering not just spot exchanges and custody but also decentralised finance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DeFi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Stablecoins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and Peer-to-Peer (P2P) transactions, all of which may fall within the regulatory perimeter. We h</w:t>
      </w:r>
      <w:r>
        <w:rPr>
          <w:rFonts w:ascii="Arial" w:eastAsia="Arial" w:hAnsi="Arial" w:cs="Arial"/>
          <w:i/>
          <w:sz w:val="24"/>
          <w:szCs w:val="24"/>
        </w:rPr>
        <w:t>ave a duty as responsible innovators to respond and help ensure the future is shaped commensurate with the risks that each ecosystem poses.</w:t>
      </w:r>
      <w:r>
        <w:rPr>
          <w:rFonts w:ascii="Arial" w:eastAsia="Arial" w:hAnsi="Arial" w:cs="Arial"/>
          <w:sz w:val="24"/>
          <w:szCs w:val="24"/>
        </w:rPr>
        <w:t>” said Malcolm Wright, GDF’s Advisory Council Chair and Co-Lead of the AML Working Group.</w:t>
      </w:r>
    </w:p>
    <w:p w14:paraId="00000008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consultation also call</w:t>
      </w:r>
      <w:r>
        <w:rPr>
          <w:rFonts w:ascii="Arial" w:eastAsia="Arial" w:hAnsi="Arial" w:cs="Arial"/>
          <w:sz w:val="24"/>
          <w:szCs w:val="24"/>
        </w:rPr>
        <w:t>s for comprehensive VASP-to-VASP onboarding principles for the so-called Travel Rule, as well as highlighting that banks take a risk-based approach to onboarding crypto firms for banking services. To support this, the AML Working Group is also working on a</w:t>
      </w:r>
      <w:r>
        <w:rPr>
          <w:rFonts w:ascii="Arial" w:eastAsia="Arial" w:hAnsi="Arial" w:cs="Arial"/>
          <w:sz w:val="24"/>
          <w:szCs w:val="24"/>
        </w:rPr>
        <w:t xml:space="preserve"> standardised due diligence questionnaire, </w:t>
      </w:r>
      <w:proofErr w:type="gramStart"/>
      <w:r>
        <w:rPr>
          <w:rFonts w:ascii="Arial" w:eastAsia="Arial" w:hAnsi="Arial" w:cs="Arial"/>
          <w:sz w:val="24"/>
          <w:szCs w:val="24"/>
        </w:rPr>
        <w:t>similar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that found in traditional finance and known as the </w:t>
      </w:r>
      <w:proofErr w:type="spellStart"/>
      <w:r>
        <w:rPr>
          <w:rFonts w:ascii="Arial" w:eastAsia="Arial" w:hAnsi="Arial" w:cs="Arial"/>
          <w:sz w:val="24"/>
          <w:szCs w:val="24"/>
        </w:rPr>
        <w:t>Wolfsberg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DDQ.</w:t>
      </w:r>
    </w:p>
    <w:p w14:paraId="0000000A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B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global money laundering and terrorist financing watchdog’s consultation closes on April 20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. Organisations wanting to contribute t</w:t>
      </w:r>
      <w:r>
        <w:rPr>
          <w:rFonts w:ascii="Arial" w:eastAsia="Arial" w:hAnsi="Arial" w:cs="Arial"/>
          <w:sz w:val="24"/>
          <w:szCs w:val="24"/>
        </w:rPr>
        <w:t xml:space="preserve">o GDF’s response should contact GDF about membership options at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www.gdf.io</w:t>
        </w:r>
      </w:hyperlink>
      <w:r>
        <w:rPr>
          <w:rFonts w:ascii="Arial" w:eastAsia="Arial" w:hAnsi="Arial" w:cs="Arial"/>
          <w:sz w:val="24"/>
          <w:szCs w:val="24"/>
        </w:rPr>
        <w:t xml:space="preserve"> or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hello@gdf.io</w:t>
        </w:r>
      </w:hyperlink>
    </w:p>
    <w:p w14:paraId="0000000C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D" w14:textId="77777777" w:rsidR="00E369CD" w:rsidRDefault="00E369C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E369CD" w:rsidRDefault="0064484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-Ends-</w:t>
      </w:r>
    </w:p>
    <w:p w14:paraId="0000000F" w14:textId="77777777" w:rsidR="00E369CD" w:rsidRDefault="0064484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 further information  </w:t>
      </w:r>
    </w:p>
    <w:p w14:paraId="00000010" w14:textId="77777777" w:rsidR="00E369CD" w:rsidRDefault="0064484D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Call Phil Anderson or Taylor Marriott at Perception A </w:t>
      </w:r>
      <w:r>
        <w:rPr>
          <w:rFonts w:ascii="Arial" w:eastAsia="Arial" w:hAnsi="Arial" w:cs="Arial"/>
          <w:sz w:val="24"/>
          <w:szCs w:val="24"/>
        </w:rPr>
        <w:t>on 07767 491 519 / 07983 335021.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0000011" w14:textId="77777777" w:rsidR="00E369CD" w:rsidRDefault="0064484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Global Digital Finance </w:t>
      </w:r>
    </w:p>
    <w:p w14:paraId="00000012" w14:textId="77777777" w:rsidR="00E369CD" w:rsidRDefault="0064484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Global Digital Finance (GDF) is an industry membership body that promotes the adoption of best practices for </w:t>
      </w:r>
      <w:proofErr w:type="spellStart"/>
      <w:r>
        <w:rPr>
          <w:rFonts w:ascii="Arial" w:eastAsia="Arial" w:hAnsi="Arial" w:cs="Arial"/>
          <w:sz w:val="24"/>
          <w:szCs w:val="24"/>
        </w:rPr>
        <w:t>cryptoassets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digital finance technologies, through the development of conduct standar</w:t>
      </w:r>
      <w:r>
        <w:rPr>
          <w:rFonts w:ascii="Arial" w:eastAsia="Arial" w:hAnsi="Arial" w:cs="Arial"/>
          <w:sz w:val="24"/>
          <w:szCs w:val="24"/>
        </w:rPr>
        <w:t xml:space="preserve">ds in a shared engagement forum with market participants, </w:t>
      </w:r>
      <w:proofErr w:type="gramStart"/>
      <w:r>
        <w:rPr>
          <w:rFonts w:ascii="Arial" w:eastAsia="Arial" w:hAnsi="Arial" w:cs="Arial"/>
          <w:sz w:val="24"/>
          <w:szCs w:val="24"/>
        </w:rPr>
        <w:t>policymakers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regulators. Over 100 global organisations are members of GDF and over 350 industry professionals from around the world have worked on developing the GDF codes of conduct, the only g</w:t>
      </w:r>
      <w:r>
        <w:rPr>
          <w:rFonts w:ascii="Arial" w:eastAsia="Arial" w:hAnsi="Arial" w:cs="Arial"/>
          <w:sz w:val="24"/>
          <w:szCs w:val="24"/>
        </w:rPr>
        <w:t xml:space="preserve">lobal standard in this emerging sector. </w:t>
      </w:r>
    </w:p>
    <w:p w14:paraId="00000013" w14:textId="77777777" w:rsidR="00E369CD" w:rsidRDefault="00E369C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E369C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CD"/>
    <w:rsid w:val="0064484D"/>
    <w:rsid w:val="00E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68B4F-9186-4ED8-A9BA-6B71322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224"/>
    <w:rPr>
      <w:color w:val="605E5C"/>
      <w:shd w:val="clear" w:color="auto" w:fill="E1DFDD"/>
    </w:rPr>
  </w:style>
  <w:style w:type="paragraph" w:customStyle="1" w:styleId="hj">
    <w:name w:val="hj"/>
    <w:basedOn w:val="Normal"/>
    <w:rsid w:val="00B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gdf.io" TargetMode="External"/><Relationship Id="rId5" Type="http://schemas.openxmlformats.org/officeDocument/2006/relationships/hyperlink" Target="http://www.gdf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hb1Tx1JVcxLxYPZYWqE2+B09Q==">AMUW2mVzlpaVY4FBfsjHINav6gjrb+kggiC+BzkmVxRIU/3tvFThFs2mIDhxG4oXdmcL3R6PKqelr8QsuW2wzKXYx7FL8oBduxKa3lQoXT78Wh9hc0RgskU=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Anderson</dc:creator>
  <cp:lastModifiedBy>Emma Joyce</cp:lastModifiedBy>
  <cp:revision>2</cp:revision>
  <dcterms:created xsi:type="dcterms:W3CDTF">2021-03-26T07:43:00Z</dcterms:created>
  <dcterms:modified xsi:type="dcterms:W3CDTF">2021-03-26T07:43:00Z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0x010100D56A093EF4503F46BEDC3922C135C599</vt:lpwstr>
  </property>
</Properties>
</file>